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B0260" w14:textId="1C075711" w:rsidR="00175CD0" w:rsidRPr="00CC16E7" w:rsidRDefault="00F70C67" w:rsidP="00175CD0">
      <w:pPr>
        <w:pStyle w:val="Heading1"/>
        <w:rPr>
          <w:sz w:val="28"/>
          <w:szCs w:val="28"/>
        </w:rPr>
      </w:pPr>
      <w:r w:rsidRPr="00CC16E7">
        <w:rPr>
          <w:sz w:val="28"/>
          <w:szCs w:val="28"/>
        </w:rPr>
        <w:t>Hazards of Assigned Seating</w:t>
      </w:r>
      <w:bookmarkStart w:id="0" w:name="_GoBack"/>
      <w:bookmarkEnd w:id="0"/>
    </w:p>
    <w:p w14:paraId="6D070A45" w14:textId="77777777" w:rsidR="00175CD0" w:rsidRPr="00CC16E7" w:rsidRDefault="00175CD0" w:rsidP="00175CD0">
      <w:pPr>
        <w:rPr>
          <w:sz w:val="22"/>
          <w:szCs w:val="22"/>
        </w:rPr>
      </w:pPr>
    </w:p>
    <w:p w14:paraId="4221DA66" w14:textId="650432DD" w:rsidR="00175CD0" w:rsidRPr="00CC16E7" w:rsidRDefault="00175CD0" w:rsidP="00175CD0">
      <w:pPr>
        <w:numPr>
          <w:ilvl w:val="0"/>
          <w:numId w:val="1"/>
        </w:numPr>
        <w:ind w:left="54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Thea</w:t>
      </w:r>
      <w:r w:rsidR="006514E8" w:rsidRPr="00CC16E7">
        <w:rPr>
          <w:rFonts w:ascii="Calibri" w:eastAsia="Times New Roman" w:hAnsi="Calibri" w:cs="Times New Roman"/>
          <w:sz w:val="22"/>
          <w:szCs w:val="22"/>
        </w:rPr>
        <w:t>tre-style row numbers occur in 3</w:t>
      </w:r>
      <w:r w:rsidRPr="00CC16E7">
        <w:rPr>
          <w:rFonts w:ascii="Calibri" w:eastAsia="Times New Roman" w:hAnsi="Calibri" w:cs="Times New Roman"/>
          <w:sz w:val="22"/>
          <w:szCs w:val="22"/>
        </w:rPr>
        <w:t xml:space="preserve"> locations: Hubbell/Hoyt</w:t>
      </w:r>
      <w:r w:rsidR="006514E8" w:rsidRPr="00CC16E7">
        <w:rPr>
          <w:rFonts w:ascii="Calibri" w:eastAsia="Times New Roman" w:hAnsi="Calibri" w:cs="Times New Roman"/>
          <w:sz w:val="22"/>
          <w:szCs w:val="22"/>
        </w:rPr>
        <w:t>/Goergen101</w:t>
      </w:r>
    </w:p>
    <w:p w14:paraId="27C45319" w14:textId="77777777" w:rsidR="00175CD0" w:rsidRPr="00CC16E7" w:rsidRDefault="00175CD0" w:rsidP="00175CD0">
      <w:pPr>
        <w:numPr>
          <w:ilvl w:val="1"/>
          <w:numId w:val="2"/>
        </w:numPr>
        <w:ind w:left="108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This means MIDDLE section is number starting with 100 and goes left to right as the instructor faces the students</w:t>
      </w:r>
    </w:p>
    <w:p w14:paraId="31B4A9F8" w14:textId="77777777" w:rsidR="00175CD0" w:rsidRPr="00CC16E7" w:rsidRDefault="00175CD0" w:rsidP="00175CD0">
      <w:pPr>
        <w:numPr>
          <w:ilvl w:val="1"/>
          <w:numId w:val="2"/>
        </w:numPr>
        <w:ind w:left="108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LEFT section is numbered starting on the aisle stairway and goes to the LEFT (so from right to left as the instructor faces the students) AND all numbers are EVEN starting with "2".</w:t>
      </w:r>
    </w:p>
    <w:p w14:paraId="07937455" w14:textId="28EC59B7" w:rsidR="00D91123" w:rsidRPr="00CC16E7" w:rsidRDefault="00175CD0" w:rsidP="00D91123">
      <w:pPr>
        <w:numPr>
          <w:ilvl w:val="1"/>
          <w:numId w:val="2"/>
        </w:numPr>
        <w:ind w:left="108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RIGHT section is numbered starting on the aisle stairs and goes to the RIGHT (from right to left same as the MIDDLE) AND all numbers are ODD starting with "1"</w:t>
      </w:r>
      <w:r w:rsidR="00D91123" w:rsidRPr="00CC16E7">
        <w:rPr>
          <w:rFonts w:ascii="Calibri" w:eastAsia="Times New Roman" w:hAnsi="Calibri" w:cs="Times New Roman"/>
          <w:sz w:val="22"/>
          <w:szCs w:val="22"/>
        </w:rPr>
        <w:t xml:space="preserve"> (see example below)</w:t>
      </w:r>
    </w:p>
    <w:p w14:paraId="53698A52" w14:textId="186775F2" w:rsidR="00D91123" w:rsidRPr="00CC16E7" w:rsidRDefault="00D91123" w:rsidP="00D91123">
      <w:pPr>
        <w:ind w:left="72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 xml:space="preserve">         </w:t>
      </w:r>
      <w:r w:rsidRPr="00CC16E7">
        <w:rPr>
          <w:rFonts w:ascii="Calibri" w:eastAsia="Times New Roman" w:hAnsi="Calibri" w:cs="Times New Roman"/>
          <w:noProof/>
          <w:sz w:val="22"/>
          <w:szCs w:val="22"/>
        </w:rPr>
        <w:drawing>
          <wp:inline distT="0" distB="0" distL="0" distR="0" wp14:anchorId="05983706" wp14:editId="43D20C78">
            <wp:extent cx="3857891" cy="1241038"/>
            <wp:effectExtent l="25400" t="25400" r="28575" b="292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6-10-13 at 10.34.48 AM.png"/>
                    <pic:cNvPicPr/>
                  </pic:nvPicPr>
                  <pic:blipFill>
                    <a:blip r:embed="rId5">
                      <a:extLst>
                        <a:ext uri="{28A0092B-C50C-407E-A947-70E740481C1C}">
                          <a14:useLocalDpi xmlns:a14="http://schemas.microsoft.com/office/drawing/2010/main" val="0"/>
                        </a:ext>
                      </a:extLst>
                    </a:blip>
                    <a:stretch>
                      <a:fillRect/>
                    </a:stretch>
                  </pic:blipFill>
                  <pic:spPr>
                    <a:xfrm>
                      <a:off x="0" y="0"/>
                      <a:ext cx="4103834" cy="1320155"/>
                    </a:xfrm>
                    <a:prstGeom prst="rect">
                      <a:avLst/>
                    </a:prstGeom>
                    <a:ln>
                      <a:solidFill>
                        <a:schemeClr val="tx1"/>
                      </a:solidFill>
                    </a:ln>
                  </pic:spPr>
                </pic:pic>
              </a:graphicData>
            </a:graphic>
          </wp:inline>
        </w:drawing>
      </w:r>
    </w:p>
    <w:p w14:paraId="64ED4734" w14:textId="5B53FBEE" w:rsidR="00175CD0" w:rsidRPr="00CC16E7" w:rsidRDefault="00175CD0" w:rsidP="00175CD0">
      <w:pPr>
        <w:numPr>
          <w:ilvl w:val="0"/>
          <w:numId w:val="2"/>
        </w:numPr>
        <w:ind w:left="54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Some rooms li</w:t>
      </w:r>
      <w:r w:rsidR="00834DED" w:rsidRPr="00CC16E7">
        <w:rPr>
          <w:rFonts w:ascii="Calibri" w:eastAsia="Times New Roman" w:hAnsi="Calibri" w:cs="Times New Roman"/>
          <w:sz w:val="22"/>
          <w:szCs w:val="22"/>
        </w:rPr>
        <w:t xml:space="preserve">ke Hubbell/Dewey1-101/Morey321 </w:t>
      </w:r>
      <w:r w:rsidR="006435C3" w:rsidRPr="00CC16E7">
        <w:rPr>
          <w:rFonts w:ascii="Calibri" w:eastAsia="Times New Roman" w:hAnsi="Calibri" w:cs="Times New Roman"/>
          <w:sz w:val="22"/>
          <w:szCs w:val="22"/>
        </w:rPr>
        <w:t>have existing seat plate numbers</w:t>
      </w:r>
      <w:r w:rsidRPr="00CC16E7">
        <w:rPr>
          <w:rFonts w:ascii="Calibri" w:eastAsia="Times New Roman" w:hAnsi="Calibri" w:cs="Times New Roman"/>
          <w:sz w:val="22"/>
          <w:szCs w:val="22"/>
        </w:rPr>
        <w:t>, but over time they can be vandalized or become inaccurate due to replacement.</w:t>
      </w:r>
    </w:p>
    <w:p w14:paraId="7DD18FCC" w14:textId="042ABF4A" w:rsidR="00175CD0" w:rsidRPr="00CC16E7" w:rsidRDefault="00175CD0" w:rsidP="00175CD0">
      <w:pPr>
        <w:numPr>
          <w:ilvl w:val="1"/>
          <w:numId w:val="3"/>
        </w:numPr>
        <w:ind w:left="108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In cases where a seat</w:t>
      </w:r>
      <w:r w:rsidR="00834DED" w:rsidRPr="00CC16E7">
        <w:rPr>
          <w:rFonts w:ascii="Calibri" w:eastAsia="Times New Roman" w:hAnsi="Calibri" w:cs="Times New Roman"/>
          <w:sz w:val="22"/>
          <w:szCs w:val="22"/>
        </w:rPr>
        <w:t xml:space="preserve"> plate or </w:t>
      </w:r>
      <w:r w:rsidRPr="00CC16E7">
        <w:rPr>
          <w:rFonts w:ascii="Calibri" w:eastAsia="Times New Roman" w:hAnsi="Calibri" w:cs="Times New Roman"/>
          <w:sz w:val="22"/>
          <w:szCs w:val="22"/>
        </w:rPr>
        <w:t>label is missing</w:t>
      </w:r>
      <w:r w:rsidR="00834DED" w:rsidRPr="00CC16E7">
        <w:rPr>
          <w:rFonts w:ascii="Calibri" w:eastAsia="Times New Roman" w:hAnsi="Calibri" w:cs="Times New Roman"/>
          <w:sz w:val="22"/>
          <w:szCs w:val="22"/>
        </w:rPr>
        <w:t>,</w:t>
      </w:r>
      <w:r w:rsidRPr="00CC16E7">
        <w:rPr>
          <w:rFonts w:ascii="Calibri" w:eastAsia="Times New Roman" w:hAnsi="Calibri" w:cs="Times New Roman"/>
          <w:sz w:val="22"/>
          <w:szCs w:val="22"/>
        </w:rPr>
        <w:t xml:space="preserve"> the seat chart for the room takes precedence over </w:t>
      </w:r>
      <w:r w:rsidR="00F70C67" w:rsidRPr="00CC16E7">
        <w:rPr>
          <w:rFonts w:ascii="Calibri" w:eastAsia="Times New Roman" w:hAnsi="Calibri" w:cs="Times New Roman"/>
          <w:sz w:val="22"/>
          <w:szCs w:val="22"/>
        </w:rPr>
        <w:t>ALL</w:t>
      </w:r>
      <w:r w:rsidRPr="00CC16E7">
        <w:rPr>
          <w:rFonts w:ascii="Calibri" w:eastAsia="Times New Roman" w:hAnsi="Calibri" w:cs="Times New Roman"/>
          <w:sz w:val="22"/>
          <w:szCs w:val="22"/>
        </w:rPr>
        <w:t xml:space="preserve"> discrepancies in the room. This accounts for situations where a seat is "removable" or has been replaced by facilities by another seat with an incorrect </w:t>
      </w:r>
      <w:r w:rsidR="00F70C67" w:rsidRPr="00CC16E7">
        <w:rPr>
          <w:rFonts w:ascii="Calibri" w:eastAsia="Times New Roman" w:hAnsi="Calibri" w:cs="Times New Roman"/>
          <w:sz w:val="22"/>
          <w:szCs w:val="22"/>
        </w:rPr>
        <w:t>seat plate number.</w:t>
      </w:r>
    </w:p>
    <w:p w14:paraId="6B867340" w14:textId="6DCE58BF" w:rsidR="00175CD0" w:rsidRPr="00CC16E7" w:rsidRDefault="00175CD0" w:rsidP="00175CD0">
      <w:pPr>
        <w:numPr>
          <w:ilvl w:val="1"/>
          <w:numId w:val="3"/>
        </w:numPr>
        <w:ind w:left="108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 xml:space="preserve">Always use the </w:t>
      </w:r>
      <w:r w:rsidR="006435C3" w:rsidRPr="00CC16E7">
        <w:rPr>
          <w:rFonts w:ascii="Calibri" w:eastAsia="Times New Roman" w:hAnsi="Calibri" w:cs="Times New Roman"/>
          <w:sz w:val="22"/>
          <w:szCs w:val="22"/>
        </w:rPr>
        <w:t xml:space="preserve">PDF </w:t>
      </w:r>
      <w:r w:rsidRPr="00CC16E7">
        <w:rPr>
          <w:rFonts w:ascii="Calibri" w:eastAsia="Times New Roman" w:hAnsi="Calibri" w:cs="Times New Roman"/>
          <w:sz w:val="22"/>
          <w:szCs w:val="22"/>
        </w:rPr>
        <w:t xml:space="preserve">seat chart for the room as the absolute numbering system for that room. The spreadsheets for the room will match that </w:t>
      </w:r>
      <w:r w:rsidR="006435C3" w:rsidRPr="00CC16E7">
        <w:rPr>
          <w:rFonts w:ascii="Calibri" w:eastAsia="Times New Roman" w:hAnsi="Calibri" w:cs="Times New Roman"/>
          <w:sz w:val="22"/>
          <w:szCs w:val="22"/>
        </w:rPr>
        <w:t>PDF seat</w:t>
      </w:r>
      <w:r w:rsidRPr="00CC16E7">
        <w:rPr>
          <w:rFonts w:ascii="Calibri" w:eastAsia="Times New Roman" w:hAnsi="Calibri" w:cs="Times New Roman"/>
          <w:sz w:val="22"/>
          <w:szCs w:val="22"/>
        </w:rPr>
        <w:t xml:space="preserve"> chart as closely as possible.</w:t>
      </w:r>
    </w:p>
    <w:p w14:paraId="20005F0E" w14:textId="52E0F1FC" w:rsidR="00175CD0" w:rsidRPr="00CC16E7" w:rsidRDefault="00175CD0" w:rsidP="00175CD0">
      <w:pPr>
        <w:numPr>
          <w:ilvl w:val="0"/>
          <w:numId w:val="3"/>
        </w:numPr>
        <w:ind w:left="54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 xml:space="preserve">In some </w:t>
      </w:r>
      <w:r w:rsidR="006435C3" w:rsidRPr="00CC16E7">
        <w:rPr>
          <w:rFonts w:ascii="Calibri" w:eastAsia="Times New Roman" w:hAnsi="Calibri" w:cs="Times New Roman"/>
          <w:sz w:val="22"/>
          <w:szCs w:val="22"/>
        </w:rPr>
        <w:t xml:space="preserve">old </w:t>
      </w:r>
      <w:r w:rsidR="00F70C67" w:rsidRPr="00CC16E7">
        <w:rPr>
          <w:rFonts w:ascii="Calibri" w:eastAsia="Times New Roman" w:hAnsi="Calibri" w:cs="Times New Roman"/>
          <w:sz w:val="22"/>
          <w:szCs w:val="22"/>
        </w:rPr>
        <w:t>rooms,</w:t>
      </w:r>
      <w:r w:rsidRPr="00CC16E7">
        <w:rPr>
          <w:rFonts w:ascii="Calibri" w:eastAsia="Times New Roman" w:hAnsi="Calibri" w:cs="Times New Roman"/>
          <w:sz w:val="22"/>
          <w:szCs w:val="22"/>
        </w:rPr>
        <w:t xml:space="preserve"> there is </w:t>
      </w:r>
      <w:r w:rsidR="00834DED" w:rsidRPr="00CC16E7">
        <w:rPr>
          <w:rFonts w:ascii="Calibri" w:eastAsia="Times New Roman" w:hAnsi="Calibri" w:cs="Times New Roman"/>
          <w:sz w:val="22"/>
          <w:szCs w:val="22"/>
        </w:rPr>
        <w:t xml:space="preserve">a truncated first row that was </w:t>
      </w:r>
      <w:r w:rsidRPr="00CC16E7">
        <w:rPr>
          <w:rFonts w:ascii="Calibri" w:eastAsia="Times New Roman" w:hAnsi="Calibri" w:cs="Times New Roman"/>
          <w:sz w:val="22"/>
          <w:szCs w:val="22"/>
        </w:rPr>
        <w:t xml:space="preserve">modified or added </w:t>
      </w:r>
      <w:r w:rsidR="00F70C67" w:rsidRPr="00CC16E7">
        <w:rPr>
          <w:rFonts w:ascii="Calibri" w:eastAsia="Times New Roman" w:hAnsi="Calibri" w:cs="Times New Roman"/>
          <w:sz w:val="22"/>
          <w:szCs w:val="22"/>
        </w:rPr>
        <w:t>later</w:t>
      </w:r>
      <w:r w:rsidRPr="00CC16E7">
        <w:rPr>
          <w:rFonts w:ascii="Calibri" w:eastAsia="Times New Roman" w:hAnsi="Calibri" w:cs="Times New Roman"/>
          <w:sz w:val="22"/>
          <w:szCs w:val="22"/>
        </w:rPr>
        <w:t>. In cases where the front row is far to the right or left, the numbering may "skip" to match rows behind that row. Or in some cases the numbering</w:t>
      </w:r>
      <w:r w:rsidR="00834DED" w:rsidRPr="00CC16E7">
        <w:rPr>
          <w:rFonts w:ascii="Calibri" w:eastAsia="Times New Roman" w:hAnsi="Calibri" w:cs="Times New Roman"/>
          <w:sz w:val="22"/>
          <w:szCs w:val="22"/>
        </w:rPr>
        <w:t xml:space="preserve"> may start at "1" and continue </w:t>
      </w:r>
      <w:r w:rsidRPr="00CC16E7">
        <w:rPr>
          <w:rFonts w:ascii="Calibri" w:eastAsia="Times New Roman" w:hAnsi="Calibri" w:cs="Times New Roman"/>
          <w:sz w:val="22"/>
          <w:szCs w:val="22"/>
        </w:rPr>
        <w:t>straight across in a continuous incremental progression.</w:t>
      </w:r>
    </w:p>
    <w:p w14:paraId="494B58DA" w14:textId="79208D43" w:rsidR="00175CD0" w:rsidRPr="00CC16E7" w:rsidRDefault="00F70C67" w:rsidP="00175CD0">
      <w:pPr>
        <w:numPr>
          <w:ilvl w:val="0"/>
          <w:numId w:val="3"/>
        </w:numPr>
        <w:ind w:left="54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Dewey 1-101/</w:t>
      </w:r>
      <w:r w:rsidR="00175CD0" w:rsidRPr="00CC16E7">
        <w:rPr>
          <w:rFonts w:ascii="Calibri" w:eastAsia="Times New Roman" w:hAnsi="Calibri" w:cs="Times New Roman"/>
          <w:sz w:val="22"/>
          <w:szCs w:val="22"/>
        </w:rPr>
        <w:t>Lattimor</w:t>
      </w:r>
      <w:r w:rsidRPr="00CC16E7">
        <w:rPr>
          <w:rFonts w:ascii="Calibri" w:eastAsia="Times New Roman" w:hAnsi="Calibri" w:cs="Times New Roman"/>
          <w:sz w:val="22"/>
          <w:szCs w:val="22"/>
        </w:rPr>
        <w:t xml:space="preserve">e 201 BOTH have </w:t>
      </w:r>
      <w:r w:rsidR="00175CD0" w:rsidRPr="00CC16E7">
        <w:rPr>
          <w:rFonts w:ascii="Calibri" w:eastAsia="Times New Roman" w:hAnsi="Calibri" w:cs="Times New Roman"/>
          <w:sz w:val="22"/>
          <w:szCs w:val="22"/>
        </w:rPr>
        <w:t>a Row Lette</w:t>
      </w:r>
      <w:r w:rsidRPr="00CC16E7">
        <w:rPr>
          <w:rFonts w:ascii="Calibri" w:eastAsia="Times New Roman" w:hAnsi="Calibri" w:cs="Times New Roman"/>
          <w:sz w:val="22"/>
          <w:szCs w:val="22"/>
        </w:rPr>
        <w:t>r of capital "I", row letters</w:t>
      </w:r>
      <w:r w:rsidR="00175CD0" w:rsidRPr="00CC16E7">
        <w:rPr>
          <w:rFonts w:ascii="Calibri" w:eastAsia="Times New Roman" w:hAnsi="Calibri" w:cs="Times New Roman"/>
          <w:sz w:val="22"/>
          <w:szCs w:val="22"/>
        </w:rPr>
        <w:t xml:space="preserve"> go </w:t>
      </w:r>
      <w:proofErr w:type="gramStart"/>
      <w:r w:rsidR="00175CD0" w:rsidRPr="00CC16E7">
        <w:rPr>
          <w:rFonts w:ascii="Calibri" w:eastAsia="Times New Roman" w:hAnsi="Calibri" w:cs="Times New Roman"/>
          <w:sz w:val="22"/>
          <w:szCs w:val="22"/>
        </w:rPr>
        <w:t>H,I</w:t>
      </w:r>
      <w:proofErr w:type="gramEnd"/>
      <w:r w:rsidR="00175CD0" w:rsidRPr="00CC16E7">
        <w:rPr>
          <w:rFonts w:ascii="Calibri" w:eastAsia="Times New Roman" w:hAnsi="Calibri" w:cs="Times New Roman"/>
          <w:sz w:val="22"/>
          <w:szCs w:val="22"/>
        </w:rPr>
        <w:t xml:space="preserve">,J,… But only for </w:t>
      </w:r>
      <w:r w:rsidRPr="00CC16E7">
        <w:rPr>
          <w:rFonts w:ascii="Calibri" w:eastAsia="Times New Roman" w:hAnsi="Calibri" w:cs="Times New Roman"/>
          <w:sz w:val="22"/>
          <w:szCs w:val="22"/>
        </w:rPr>
        <w:t>those 2</w:t>
      </w:r>
      <w:r w:rsidR="00175CD0" w:rsidRPr="00CC16E7">
        <w:rPr>
          <w:rFonts w:ascii="Calibri" w:eastAsia="Times New Roman" w:hAnsi="Calibri" w:cs="Times New Roman"/>
          <w:sz w:val="22"/>
          <w:szCs w:val="22"/>
        </w:rPr>
        <w:t xml:space="preserve"> room</w:t>
      </w:r>
      <w:r w:rsidRPr="00CC16E7">
        <w:rPr>
          <w:rFonts w:ascii="Calibri" w:eastAsia="Times New Roman" w:hAnsi="Calibri" w:cs="Times New Roman"/>
          <w:sz w:val="22"/>
          <w:szCs w:val="22"/>
        </w:rPr>
        <w:t>s</w:t>
      </w:r>
      <w:r w:rsidR="00175CD0" w:rsidRPr="00CC16E7">
        <w:rPr>
          <w:rFonts w:ascii="Calibri" w:eastAsia="Times New Roman" w:hAnsi="Calibri" w:cs="Times New Roman"/>
          <w:sz w:val="22"/>
          <w:szCs w:val="22"/>
        </w:rPr>
        <w:t xml:space="preserve">. All other assigned seating rooms on campus will skip </w:t>
      </w:r>
      <w:r w:rsidRPr="00CC16E7">
        <w:rPr>
          <w:rFonts w:ascii="Calibri" w:eastAsia="Times New Roman" w:hAnsi="Calibri" w:cs="Times New Roman"/>
          <w:sz w:val="22"/>
          <w:szCs w:val="22"/>
        </w:rPr>
        <w:t xml:space="preserve">capital letter </w:t>
      </w:r>
      <w:r w:rsidR="00175CD0" w:rsidRPr="00CC16E7">
        <w:rPr>
          <w:rFonts w:ascii="Calibri" w:eastAsia="Times New Roman" w:hAnsi="Calibri" w:cs="Times New Roman"/>
          <w:sz w:val="22"/>
          <w:szCs w:val="22"/>
        </w:rPr>
        <w:t xml:space="preserve">"I" for the sake of </w:t>
      </w:r>
      <w:r w:rsidRPr="00CC16E7">
        <w:rPr>
          <w:rFonts w:ascii="Calibri" w:eastAsia="Times New Roman" w:hAnsi="Calibri" w:cs="Times New Roman"/>
          <w:sz w:val="22"/>
          <w:szCs w:val="22"/>
        </w:rPr>
        <w:t>no</w:t>
      </w:r>
      <w:r w:rsidR="00175CD0" w:rsidRPr="00CC16E7">
        <w:rPr>
          <w:rFonts w:ascii="Calibri" w:eastAsia="Times New Roman" w:hAnsi="Calibri" w:cs="Times New Roman"/>
          <w:sz w:val="22"/>
          <w:szCs w:val="22"/>
        </w:rPr>
        <w:t xml:space="preserve"> mistaking it as a number "1".</w:t>
      </w:r>
    </w:p>
    <w:p w14:paraId="6A9C88F2" w14:textId="77777777" w:rsidR="00175CD0" w:rsidRPr="00CC16E7" w:rsidRDefault="00175CD0" w:rsidP="00175CD0">
      <w:pPr>
        <w:numPr>
          <w:ilvl w:val="0"/>
          <w:numId w:val="3"/>
        </w:numPr>
        <w:ind w:left="54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There are only 14 rooms that have been set aside by the Dean's Office space planning manager and they are as follows:</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709"/>
        <w:gridCol w:w="2101"/>
      </w:tblGrid>
      <w:tr w:rsidR="00175CD0" w:rsidRPr="00CC16E7" w14:paraId="21775C88" w14:textId="77777777" w:rsidTr="00175CD0">
        <w:tc>
          <w:tcPr>
            <w:tcW w:w="270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123E9F62"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Hutchison 141 (Hubbell)</w:t>
            </w:r>
          </w:p>
          <w:p w14:paraId="0775228F"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Lower Strong</w:t>
            </w:r>
          </w:p>
          <w:p w14:paraId="33BB8504"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Hoyt</w:t>
            </w:r>
          </w:p>
          <w:p w14:paraId="3BEAC5B7"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Dewey 1-101</w:t>
            </w:r>
          </w:p>
          <w:p w14:paraId="38AFE076"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Hutchison 140 (Lander)</w:t>
            </w:r>
          </w:p>
          <w:p w14:paraId="4E42E6AF"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Goergen Hall 101 (Sloan)</w:t>
            </w:r>
          </w:p>
          <w:p w14:paraId="77989CEA"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Bausch &amp; Lomb 109</w:t>
            </w:r>
          </w:p>
        </w:tc>
        <w:tc>
          <w:tcPr>
            <w:tcW w:w="2101"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4C8B8F1"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Lattimore 201</w:t>
            </w:r>
          </w:p>
          <w:p w14:paraId="136BB9D0"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Morey 321</w:t>
            </w:r>
          </w:p>
          <w:p w14:paraId="26C4263F"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Meliora 203</w:t>
            </w:r>
          </w:p>
          <w:p w14:paraId="4DFC15E1"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Dewey 2-162</w:t>
            </w:r>
          </w:p>
          <w:p w14:paraId="5AE02E28"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Bausch &amp; Lomb 106</w:t>
            </w:r>
          </w:p>
          <w:p w14:paraId="65579111"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Meliora 221</w:t>
            </w:r>
          </w:p>
          <w:p w14:paraId="6B651F87" w14:textId="77777777" w:rsidR="00175CD0" w:rsidRPr="00CC16E7" w:rsidRDefault="00175CD0" w:rsidP="00175CD0">
            <w:pPr>
              <w:rPr>
                <w:rFonts w:ascii="inherit" w:hAnsi="inherit" w:cs="Times New Roman"/>
                <w:color w:val="48484A"/>
                <w:sz w:val="22"/>
                <w:szCs w:val="22"/>
              </w:rPr>
            </w:pPr>
            <w:r w:rsidRPr="00CC16E7">
              <w:rPr>
                <w:rFonts w:ascii="inherit" w:hAnsi="inherit" w:cs="Times New Roman"/>
                <w:color w:val="48484A"/>
                <w:sz w:val="22"/>
                <w:szCs w:val="22"/>
              </w:rPr>
              <w:t>Gavett 202</w:t>
            </w:r>
          </w:p>
        </w:tc>
      </w:tr>
    </w:tbl>
    <w:p w14:paraId="7B2582D4" w14:textId="77777777" w:rsidR="00175CD0" w:rsidRPr="00CC16E7" w:rsidRDefault="00175CD0" w:rsidP="00175CD0">
      <w:pPr>
        <w:ind w:left="540"/>
        <w:rPr>
          <w:rFonts w:ascii="Calibri" w:hAnsi="Calibri" w:cs="Times New Roman"/>
          <w:sz w:val="22"/>
          <w:szCs w:val="22"/>
        </w:rPr>
      </w:pPr>
      <w:r w:rsidRPr="00CC16E7">
        <w:rPr>
          <w:rFonts w:ascii="Calibri" w:hAnsi="Calibri" w:cs="Times New Roman"/>
          <w:sz w:val="22"/>
          <w:szCs w:val="22"/>
        </w:rPr>
        <w:t> </w:t>
      </w:r>
    </w:p>
    <w:p w14:paraId="6918EC69" w14:textId="1AB03BEC" w:rsidR="00175CD0" w:rsidRPr="00CC16E7" w:rsidRDefault="00175CD0" w:rsidP="00175CD0">
      <w:pPr>
        <w:numPr>
          <w:ilvl w:val="0"/>
          <w:numId w:val="4"/>
        </w:numPr>
        <w:ind w:left="54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There are 2 sets of directions/</w:t>
      </w:r>
      <w:r w:rsidR="006435C3" w:rsidRPr="00CC16E7">
        <w:rPr>
          <w:rFonts w:ascii="Calibri" w:eastAsia="Times New Roman" w:hAnsi="Calibri" w:cs="Times New Roman"/>
          <w:sz w:val="22"/>
          <w:szCs w:val="22"/>
        </w:rPr>
        <w:t xml:space="preserve">PDF </w:t>
      </w:r>
      <w:r w:rsidRPr="00CC16E7">
        <w:rPr>
          <w:rFonts w:ascii="Calibri" w:eastAsia="Times New Roman" w:hAnsi="Calibri" w:cs="Times New Roman"/>
          <w:sz w:val="22"/>
          <w:szCs w:val="22"/>
        </w:rPr>
        <w:t>charts/excel spreadsheets, so people need to be aware</w:t>
      </w:r>
    </w:p>
    <w:p w14:paraId="7C325979" w14:textId="77777777" w:rsidR="00175CD0" w:rsidRPr="00CC16E7" w:rsidRDefault="00175CD0" w:rsidP="00175CD0">
      <w:pPr>
        <w:numPr>
          <w:ilvl w:val="1"/>
          <w:numId w:val="5"/>
        </w:numPr>
        <w:ind w:left="108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One set for large enrollment classes during Common Exam time where:</w:t>
      </w:r>
    </w:p>
    <w:p w14:paraId="329F754A" w14:textId="77777777" w:rsidR="00175CD0" w:rsidRPr="00CC16E7" w:rsidRDefault="00175CD0" w:rsidP="00175CD0">
      <w:pPr>
        <w:numPr>
          <w:ilvl w:val="2"/>
          <w:numId w:val="6"/>
        </w:numPr>
        <w:ind w:left="162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Students are forced to sit in alternating seat arrangement with minimum of one seat separating each student in a row.</w:t>
      </w:r>
    </w:p>
    <w:p w14:paraId="2A6354F3" w14:textId="77777777" w:rsidR="00175CD0" w:rsidRPr="00CC16E7" w:rsidRDefault="00175CD0" w:rsidP="00175CD0">
      <w:pPr>
        <w:numPr>
          <w:ilvl w:val="2"/>
          <w:numId w:val="6"/>
        </w:numPr>
        <w:ind w:left="162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Students are divided into smaller groups and proctored at multiple locations.</w:t>
      </w:r>
    </w:p>
    <w:p w14:paraId="1546961E" w14:textId="572A9042" w:rsidR="0064600E" w:rsidRPr="00CC16E7" w:rsidRDefault="00175CD0" w:rsidP="006435C3">
      <w:pPr>
        <w:numPr>
          <w:ilvl w:val="1"/>
          <w:numId w:val="6"/>
        </w:numPr>
        <w:ind w:left="1080"/>
        <w:textAlignment w:val="center"/>
        <w:rPr>
          <w:rFonts w:ascii="Calibri" w:eastAsia="Times New Roman" w:hAnsi="Calibri" w:cs="Times New Roman"/>
          <w:sz w:val="22"/>
          <w:szCs w:val="22"/>
        </w:rPr>
      </w:pPr>
      <w:r w:rsidRPr="00CC16E7">
        <w:rPr>
          <w:rFonts w:ascii="Calibri" w:eastAsia="Times New Roman" w:hAnsi="Calibri" w:cs="Times New Roman"/>
          <w:sz w:val="22"/>
          <w:szCs w:val="22"/>
        </w:rPr>
        <w:t>The other set of directions are for people who just want to randomize seat assignments WITHIN their existing room location.</w:t>
      </w:r>
    </w:p>
    <w:sectPr w:rsidR="0064600E" w:rsidRPr="00CC16E7" w:rsidSect="00CC16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inherit">
    <w:altName w:val="Angsana New"/>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070E3"/>
    <w:multiLevelType w:val="multilevel"/>
    <w:tmpl w:val="EBDC1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00757A"/>
    <w:multiLevelType w:val="multilevel"/>
    <w:tmpl w:val="387083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1"/>
    <w:lvlOverride w:ilvl="0"/>
    <w:lvlOverride w:ilvl="1">
      <w:startOverride w:val="1"/>
    </w:lvlOverride>
  </w:num>
  <w:num w:numId="3">
    <w:abstractNumId w:val="1"/>
    <w:lvlOverride w:ilvl="0"/>
    <w:lvlOverride w:ilvl="1">
      <w:startOverride w:val="1"/>
    </w:lvlOverride>
  </w:num>
  <w:num w:numId="4">
    <w:abstractNumId w:val="0"/>
    <w:lvlOverride w:ilvl="0">
      <w:startOverride w:val="6"/>
    </w:lvlOverride>
  </w:num>
  <w:num w:numId="5">
    <w:abstractNumId w:val="0"/>
    <w:lvlOverride w:ilvl="0"/>
    <w:lvlOverride w:ilvl="1">
      <w:startOverride w:val="1"/>
    </w:lvlOverride>
  </w:num>
  <w:num w:numId="6">
    <w:abstractNumId w:val="0"/>
    <w:lvlOverride w:ilvl="0"/>
    <w:lvlOverride w:ilvl="1"/>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D0"/>
    <w:rsid w:val="00175CD0"/>
    <w:rsid w:val="006313D3"/>
    <w:rsid w:val="006435C3"/>
    <w:rsid w:val="0064600E"/>
    <w:rsid w:val="006514E8"/>
    <w:rsid w:val="00834DED"/>
    <w:rsid w:val="009A24BC"/>
    <w:rsid w:val="00B66DE5"/>
    <w:rsid w:val="00BC637C"/>
    <w:rsid w:val="00CC16E7"/>
    <w:rsid w:val="00D91123"/>
    <w:rsid w:val="00E748F6"/>
    <w:rsid w:val="00F70C6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CF3C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C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CD0"/>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175C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990377">
      <w:bodyDiv w:val="1"/>
      <w:marLeft w:val="0"/>
      <w:marRight w:val="0"/>
      <w:marTop w:val="0"/>
      <w:marBottom w:val="0"/>
      <w:divBdr>
        <w:top w:val="none" w:sz="0" w:space="0" w:color="auto"/>
        <w:left w:val="none" w:sz="0" w:space="0" w:color="auto"/>
        <w:bottom w:val="none" w:sz="0" w:space="0" w:color="auto"/>
        <w:right w:val="none" w:sz="0" w:space="0" w:color="auto"/>
      </w:divBdr>
      <w:divsChild>
        <w:div w:id="26203832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381</Words>
  <Characters>2173</Characters>
  <Application>Microsoft Macintosh Word</Application>
  <DocSecurity>0</DocSecurity>
  <Lines>18</Lines>
  <Paragraphs>5</Paragraphs>
  <ScaleCrop>false</ScaleCrop>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Likness</dc:creator>
  <cp:keywords/>
  <dc:description/>
  <cp:lastModifiedBy>Eric Likness</cp:lastModifiedBy>
  <cp:revision>6</cp:revision>
  <dcterms:created xsi:type="dcterms:W3CDTF">2016-10-13T14:38:00Z</dcterms:created>
  <dcterms:modified xsi:type="dcterms:W3CDTF">2017-02-06T19:32:00Z</dcterms:modified>
</cp:coreProperties>
</file>